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ميزان المراجعة بالأرصدة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الميزان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الأرصدة في 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مرحلة الميزان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رقم الحساب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اسم الحساب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رصيد مدين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رصيد دائن</w:t>
            </w:r>
          </w:p>
        </w:tc>
      </w:tr>
      <w:tr>
        <w:tc>
          <w:tcPr>
            <w:tcW w:type="dxa" w:w="9864"/>
            <w:gridSpan w:val="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حسابات المركز المالي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1101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الصندوق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1102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البنك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1201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العملاء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1301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المخزون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1501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السيارات والمعدات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1509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مجمع إهلاك السيارات والمعدات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2101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الموردون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2201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ضريبة القيمة المضافة المستحقة (صافي)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2301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قرض قصير الأجل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3101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رأس المال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3201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الأرباح المبقاة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حسابات المركز المالي</w:t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4"/>
            <w:gridSpan w:val="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حسابات النتيجة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4101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المبيعات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5101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تكلفة المبيعات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5201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الرواتب والأجور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5202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الإيجار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5203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 الإهلاك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5204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مصروفات عمومية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حسابات النتيجة</w:t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الأرصدة المدينة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الأرصدة الدائنة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الفرق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ربح الفترة المستنتج من حسابات النتيجة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 المراجع: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المحاسب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المراجع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ميزان المراجعة بالأرصدة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