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center"/>
      </w:pPr>
      <w:r>
        <w:rPr>
          <w:rFonts w:ascii="Arial" w:hAnsi="Arial" w:cs="Arial"/>
          <w:b/>
          <w:color w:val="0B2063"/>
          <w:sz w:val="40"/>
          <w:rtl w:val="1"/>
          <w:szCs w:val="40"/>
          <w:bCs/>
        </w:rPr>
        <w:t>قائمة المركز المالي</w:t>
      </w:r>
    </w:p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المنشأة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اسم المنشأة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رقم السجل التجاري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color w:val="0B2063"/>
          <w:sz w:val="24"/>
          <w:rtl w:val="1"/>
          <w:szCs w:val="24"/>
          <w:bCs/>
        </w:rPr>
        <w:t>تاريخ القائمة</w:t>
      </w:r>
    </w:p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كما في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118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أرقام المقارنة</w:t>
            </w:r>
          </w:p>
        </w:tc>
        <w:tc>
          <w:tcPr>
            <w:tcW w:type="dxa" w:w="6746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البند</w:t>
            </w:r>
          </w:p>
        </w:tc>
        <w:tc>
          <w:tcPr>
            <w:tcW w:type="dxa" w:w="4933"/>
            <w:shd w:val="clear" w:color="auto" w:fill="0B206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FFFFFF"/>
                <w:sz w:val="18"/>
                <w:rtl w:val="1"/>
                <w:szCs w:val="18"/>
                <w:bCs/>
              </w:rPr>
              <w:t>المبلغ</w:t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الأصول غير المتداولة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ممتلكات ومعدات بالصافي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برامج وتراخيص بالصافي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الأصول غير المتداولة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الأصول المتداولة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المخزون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الذمم المدينة بالصافي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مدفوعة مقدماً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النقد وما في حكمه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الأصول المتداولة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الالتزامات غير المتداولة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قرض بنكي طويل الأجل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مخصص مكافأة نهاية الخدمة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الالتزامات غير المتداولة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الالتزامات المتداولة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الذمم الدائنة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ضريبة القيمة المضافة المستحقة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مصروفات مستحقة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الجزء المتداول من القرض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الالتزامات المتداولة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  <w:tr>
        <w:tc>
          <w:tcPr>
            <w:tcW w:type="dxa" w:w="9866"/>
            <w:gridSpan w:val="2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حقوق الملكية</w:t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رأس المال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الأرباح المبقاة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  <w:t>صافي ربح الفترة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18"/>
                <w:rtl w:val="1"/>
                <w:szCs w:val="18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  <w:t>مجموع حقوق الملكية</w:t>
            </w:r>
          </w:p>
        </w:tc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18"/>
                <w:rtl w:val="1"/>
                <w:szCs w:val="18"/>
                <w:bCs/>
              </w:rPr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  <w:tblStyle w:val="TableGrid"/>
        <w:bidiVisual w:val="1"/>
      </w:tblPr>
      <w:tblGrid>
        <w:gridCol w:w="4933"/>
        <w:gridCol w:w="4933"/>
      </w:tblGrid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الأصول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الالتزامات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مجموع الالتزامات وحقوق الملكية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التحقق: الأصول ناقص (الالتزامات + حقوق الملكية)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رأس المال العامل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4933"/>
            <w:shd w:val="clear" w:color="auto" w:fill="F4F7FF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color w:val="0B2063"/>
                <w:sz w:val="20"/>
                <w:rtl w:val="1"/>
                <w:szCs w:val="20"/>
                <w:bCs/>
              </w:rPr>
              <w:t>نسبة التداول (مرة)</w:t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/>
    <w:p/>
    <w:tbl>
      <w:tblPr>
        <w:tblW w:type="auto" w:w="0"/>
        <w:jc w:val="center"/>
        <w:tblLook w:firstColumn="1" w:firstRow="1" w:lastColumn="0" w:lastRow="0" w:noHBand="0" w:noVBand="1" w:val="04A0"/>
        <w:bidiVisual w:val="1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  <w:tc>
          <w:tcPr>
            <w:tcW w:type="dxa" w:w="493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br/>
            </w:r>
          </w:p>
        </w:tc>
      </w:tr>
      <w:tr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المحاسب</w:t>
            </w:r>
          </w:p>
        </w:tc>
        <w:tc>
          <w:tcPr>
            <w:tcW w:type="dxa" w:w="4933"/>
            <w:tcBorders>
              <w:top w:val="single" w:sz="6" w:color="0B2063"/>
            </w:tcBorders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color w:val="5B6688"/>
                <w:sz w:val="20"/>
                <w:rtl w:val="1"/>
                <w:szCs w:val="20"/>
              </w:rPr>
              <w:t>المدير المالي</w:t>
            </w:r>
          </w:p>
        </w:tc>
      </w:tr>
    </w:tbl>
    <w:p>
      <w:pPr>
        <w:bidi w:val="1"/>
        <w:jc w:val="right"/>
      </w:pPr>
      <w:r>
        <w:rPr>
          <w:rFonts w:ascii="Arial" w:hAnsi="Arial" w:cs="Arial"/>
          <w:b w:val="0"/>
          <w:color w:val="5B6688"/>
          <w:sz w:val="16"/>
          <w:rtl w:val="1"/>
          <w:szCs w:val="16"/>
        </w:rPr>
        <w:t>نموذج من دفترة دوت كوم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قائمة المركز المالي</dc:title>
  <dc:subject/>
  <dc:creator>دفترة دوت كوم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