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إشعار دائن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 مُصدر الإشعار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الإشعار والفاتورة الأصلية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الإشعار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الإشعار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 الأصلية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الفاتورة الأصلية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سبب الإشعار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البند المعدّل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مبلغ التخفيض للوحدة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تفاصيل إضافية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طريقة التسوية: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اعتماد المورد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إقرار العميل بالاستلام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يتبع هذا الإشعار مسار فاتورته الأصلية. إن كانت صادرة من نظام مربوط بمنصة فاتورة فالإشعار يصدر من النظام نفسه.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إشعار دائن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